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ascii="方正小标宋简体" w:hAnsi="Tahoma" w:eastAsia="方正小标宋简体"/>
          <w:kern w:val="0"/>
          <w:sz w:val="44"/>
          <w:szCs w:val="44"/>
        </w:rPr>
      </w:pPr>
      <w:r>
        <w:rPr>
          <w:rFonts w:hint="eastAsia" w:ascii="方正小标宋简体" w:hAnsi="Tahoma" w:eastAsia="方正小标宋简体"/>
          <w:kern w:val="0"/>
          <w:sz w:val="44"/>
          <w:szCs w:val="44"/>
        </w:rPr>
        <w:t>松江区中小企业数字化转型城市试点</w:t>
      </w:r>
    </w:p>
    <w:p>
      <w:pPr>
        <w:widowControl/>
        <w:adjustRightInd w:val="0"/>
        <w:snapToGrid w:val="0"/>
        <w:spacing w:line="560" w:lineRule="exact"/>
        <w:jc w:val="center"/>
        <w:rPr>
          <w:rFonts w:hint="eastAsia" w:ascii="方正小标宋简体" w:hAnsi="Tahoma" w:eastAsia="方正小标宋简体"/>
          <w:kern w:val="0"/>
          <w:sz w:val="44"/>
          <w:szCs w:val="44"/>
        </w:rPr>
      </w:pPr>
      <w:r>
        <w:rPr>
          <w:rFonts w:hint="eastAsia" w:ascii="方正小标宋简体" w:hAnsi="Tahoma" w:eastAsia="方正小标宋简体"/>
          <w:kern w:val="0"/>
          <w:sz w:val="44"/>
          <w:szCs w:val="44"/>
        </w:rPr>
        <w:t>资金管理办法</w:t>
      </w:r>
    </w:p>
    <w:p>
      <w:pPr>
        <w:spacing w:line="560" w:lineRule="exact"/>
        <w:ind w:firstLine="3200" w:firstLineChars="1000"/>
        <w:jc w:val="both"/>
        <w:outlineLvl w:val="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（征询意见稿）</w:t>
      </w:r>
    </w:p>
    <w:p>
      <w:pPr>
        <w:spacing w:line="560" w:lineRule="exact"/>
        <w:ind w:firstLine="3200" w:firstLineChars="1000"/>
        <w:jc w:val="both"/>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spacing w:line="560" w:lineRule="exact"/>
        <w:ind w:firstLine="64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第一条（目的和依据）</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为规范松江区中小企业数字化转型城市试点专项资金管理，提升财</w:t>
      </w:r>
      <w:r>
        <w:rPr>
          <w:rFonts w:hint="eastAsia" w:ascii="仿宋_GB2312" w:hAnsi="Tahoma" w:eastAsia="仿宋_GB2312"/>
          <w:kern w:val="0"/>
          <w:sz w:val="32"/>
          <w:szCs w:val="32"/>
        </w:rPr>
        <w:t>政资金使用效益，推动中小企业加快数字化转型，根据《关于开展中小企业数字化转型城市试点工作的通知》（财建〔2023〕117号）、《关于做好2024年中小企业数字化转型城市试点工作的通知》（财办建〔2024〕23号）、《中小企业数字化转型城市试点实施指南》、《松江区中小企业数字化转型城市试点工作方案》（文号）等相</w:t>
      </w:r>
      <w:r>
        <w:rPr>
          <w:rFonts w:hint="eastAsia" w:ascii="Times New Roman" w:hAnsi="Times New Roman" w:eastAsia="仿宋_GB2312" w:cs="Times New Roman"/>
          <w:sz w:val="32"/>
          <w:szCs w:val="32"/>
        </w:rPr>
        <w:t>关</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区实际情况，制定本</w:t>
      </w:r>
      <w:r>
        <w:rPr>
          <w:rFonts w:hint="eastAsia" w:ascii="Times New Roman" w:hAnsi="Times New Roman" w:eastAsia="仿宋_GB2312" w:cs="Times New Roman"/>
          <w:sz w:val="32"/>
          <w:szCs w:val="32"/>
        </w:rPr>
        <w:t>管理办法</w:t>
      </w:r>
      <w:r>
        <w:rPr>
          <w:rFonts w:ascii="Times New Roman" w:hAnsi="Times New Roman" w:eastAsia="仿宋_GB2312" w:cs="Times New Roman"/>
          <w:sz w:val="32"/>
          <w:szCs w:val="32"/>
        </w:rPr>
        <w:t>。</w:t>
      </w:r>
    </w:p>
    <w:p>
      <w:pPr>
        <w:spacing w:line="560" w:lineRule="exact"/>
        <w:ind w:firstLine="640"/>
        <w:outlineLvl w:val="1"/>
        <w:rPr>
          <w:rFonts w:hint="eastAsia" w:ascii="楷体_GB2312" w:hAnsi="Times New Roman" w:eastAsia="楷体_GB2312" w:cs="Times New Roman"/>
          <w:bCs/>
          <w:sz w:val="32"/>
          <w:szCs w:val="32"/>
        </w:rPr>
      </w:pPr>
      <w:bookmarkStart w:id="0" w:name="_GoBack"/>
      <w:r>
        <w:rPr>
          <w:rFonts w:hint="eastAsia" w:ascii="楷体_GB2312" w:hAnsi="Times New Roman" w:eastAsia="楷体_GB2312" w:cs="Times New Roman"/>
          <w:bCs/>
          <w:sz w:val="32"/>
          <w:szCs w:val="32"/>
        </w:rPr>
        <w:t>第二条 （总体原则）</w:t>
      </w:r>
    </w:p>
    <w:bookmarkEnd w:id="0"/>
    <w:p>
      <w:pPr>
        <w:spacing w:line="560" w:lineRule="exact"/>
        <w:ind w:firstLine="640"/>
        <w:rPr>
          <w:rFonts w:hint="eastAsia"/>
        </w:rPr>
      </w:pPr>
      <w:r>
        <w:rPr>
          <w:rFonts w:ascii="Times New Roman" w:hAnsi="Times New Roman" w:eastAsia="仿宋_GB2312" w:cs="Times New Roman"/>
          <w:sz w:val="32"/>
          <w:szCs w:val="32"/>
        </w:rPr>
        <w:t>按照中央财政对试点城市定额奖励资金使用的要求，坚持统筹规划、科学规范、注重实效、强化监督，按照“企业出一点、服务商让一点、政府补一点”的原则，严格履行资金使用程序，严格按照资金使用进度，确保资金使用的</w:t>
      </w:r>
      <w:r>
        <w:rPr>
          <w:rFonts w:hint="eastAsia" w:ascii="Times New Roman" w:hAnsi="Times New Roman" w:eastAsia="仿宋_GB2312" w:cs="Times New Roman"/>
          <w:sz w:val="32"/>
          <w:szCs w:val="32"/>
        </w:rPr>
        <w:t>规范、</w:t>
      </w:r>
      <w:r>
        <w:rPr>
          <w:rFonts w:ascii="Times New Roman" w:hAnsi="Times New Roman" w:eastAsia="仿宋_GB2312" w:cs="Times New Roman"/>
          <w:sz w:val="32"/>
          <w:szCs w:val="32"/>
        </w:rPr>
        <w:t>安全和高效，推动试点资金更好发挥效益。</w:t>
      </w:r>
    </w:p>
    <w:p>
      <w:pPr>
        <w:spacing w:line="560" w:lineRule="exact"/>
        <w:ind w:firstLine="64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第三条（资金来源）</w:t>
      </w:r>
    </w:p>
    <w:p>
      <w:pPr>
        <w:spacing w:line="560" w:lineRule="exact"/>
        <w:ind w:firstLine="640"/>
        <w:rPr>
          <w:rFonts w:ascii="楷体_GB2312" w:hAnsi="Times New Roman" w:eastAsia="楷体_GB2312" w:cs="Times New Roman"/>
          <w:b/>
          <w:sz w:val="32"/>
          <w:szCs w:val="32"/>
        </w:rPr>
      </w:pPr>
      <w:r>
        <w:rPr>
          <w:rFonts w:hint="eastAsia" w:ascii="Times New Roman" w:hAnsi="Times New Roman" w:eastAsia="仿宋_GB2312" w:cs="Times New Roman"/>
          <w:sz w:val="32"/>
          <w:szCs w:val="32"/>
        </w:rPr>
        <w:t>试点资金由中央财政下达的试点城市奖补资金和松江区</w:t>
      </w:r>
      <w:r>
        <w:rPr>
          <w:rFonts w:hint="eastAsia"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rPr>
        <w:t>配套资金两部分组成。</w:t>
      </w:r>
    </w:p>
    <w:p>
      <w:pPr>
        <w:spacing w:line="560" w:lineRule="exact"/>
        <w:jc w:val="center"/>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第二章 支持范围</w:t>
      </w:r>
    </w:p>
    <w:p>
      <w:pPr>
        <w:spacing w:line="560" w:lineRule="exact"/>
        <w:ind w:firstLine="64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第四条（支持范围）</w:t>
      </w:r>
    </w:p>
    <w:p>
      <w:pPr>
        <w:pStyle w:val="6"/>
        <w:numPr>
          <w:ilvl w:val="255"/>
          <w:numId w:val="0"/>
        </w:numPr>
        <w:spacing w:line="560" w:lineRule="exact"/>
        <w:ind w:firstLine="643" w:firstLineChars="200"/>
        <w:outlineLvl w:val="2"/>
        <w:rPr>
          <w:rFonts w:hint="eastAsia" w:ascii="仿宋_GB2312" w:hAnsi="仿宋_GB2312" w:eastAsia="仿宋_GB2312" w:cs="仿宋_GB2312"/>
          <w:highlight w:val="none"/>
          <w:lang w:eastAsia="zh-CN"/>
        </w:rPr>
      </w:pPr>
      <w:r>
        <w:rPr>
          <w:rFonts w:hint="eastAsia" w:ascii="仿宋_GB2312" w:hAnsi="仿宋_GB2312" w:cs="仿宋_GB2312"/>
          <w:b/>
        </w:rPr>
        <w:t>（一）评估诊断</w:t>
      </w:r>
      <w:r>
        <w:rPr>
          <w:rFonts w:hint="eastAsia"/>
        </w:rPr>
        <w:t>。</w:t>
      </w:r>
      <w:r>
        <w:rPr>
          <w:rFonts w:hint="eastAsia" w:ascii="仿宋_GB2312" w:hAnsi="仿宋_GB2312" w:cs="仿宋_GB2312"/>
        </w:rPr>
        <w:t>支持试点企业选择有资质的数字化服务商，根据工信部发布的《中小企业数字化水平评测指标（2024年版）》开展数字化诊断，形成“一企一报告”，对经认定的数字化诊断报告，给予试点企业最高2.5万元的补贴</w:t>
      </w:r>
      <w:r>
        <w:rPr>
          <w:rFonts w:hint="eastAsia" w:ascii="仿宋_GB2312" w:hAnsi="仿宋_GB2312" w:cs="仿宋_GB2312"/>
          <w:highlight w:val="none"/>
        </w:rPr>
        <w:t>。</w:t>
      </w:r>
    </w:p>
    <w:p>
      <w:pPr>
        <w:pStyle w:val="6"/>
        <w:spacing w:line="560" w:lineRule="exact"/>
        <w:ind w:firstLine="643"/>
        <w:outlineLvl w:val="2"/>
      </w:pPr>
      <w:r>
        <w:rPr>
          <w:rFonts w:hint="eastAsia"/>
          <w:b/>
          <w:highlight w:val="none"/>
        </w:rPr>
        <w:t>（二）</w:t>
      </w:r>
      <w:r>
        <w:rPr>
          <w:b/>
          <w:highlight w:val="none"/>
        </w:rPr>
        <w:t>数字化改造。</w:t>
      </w:r>
      <w:r>
        <w:rPr>
          <w:rFonts w:ascii="仿宋_GB2312" w:hAnsi="仿宋_GB2312" w:cs="仿宋_GB2312"/>
          <w:highlight w:val="none"/>
        </w:rPr>
        <w:t>支持试点企业循序渐进加大投入，开展生产过程数字化、产品生命周期数字化、产业链</w:t>
      </w:r>
      <w:r>
        <w:rPr>
          <w:rFonts w:ascii="仿宋_GB2312" w:hAnsi="仿宋_GB2312" w:cs="仿宋_GB2312"/>
        </w:rPr>
        <w:t>供应链数字化、智能管理决策等高价值、高带动性场景的数字化改造，推进智能设备更新、数据采集、场景集成和系统互联互通。</w:t>
      </w:r>
      <w:r>
        <w:rPr>
          <w:rFonts w:hint="eastAsia" w:ascii="仿宋_GB2312" w:hAnsi="仿宋_GB2312" w:cs="仿宋_GB2312"/>
        </w:rPr>
        <w:t>对经认定的改造项目，按照核定项目总投入给予不超过50%，最高100万元的补贴</w:t>
      </w:r>
      <w:r>
        <w:rPr>
          <w:rFonts w:hint="eastAsia"/>
        </w:rPr>
        <w:t>。</w:t>
      </w:r>
    </w:p>
    <w:p>
      <w:pPr>
        <w:spacing w:line="560" w:lineRule="exact"/>
        <w:ind w:firstLine="640"/>
        <w:outlineLvl w:val="2"/>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（三）行业标杆。</w:t>
      </w:r>
      <w:r>
        <w:rPr>
          <w:rFonts w:hint="eastAsia" w:ascii="Times New Roman" w:hAnsi="Times New Roman" w:eastAsia="仿宋_GB2312" w:cs="Times New Roman"/>
          <w:bCs/>
          <w:sz w:val="32"/>
          <w:szCs w:val="32"/>
        </w:rPr>
        <w:t>鼓励产业链关键环节有潜力、有动力、有能力的试点企业开展数字化改造先行先试，推进人工智能大模型、大数据、区块链等技术在研发设计、视觉质检、参数优化、能耗管理、智能分拣等场景中的应用，</w:t>
      </w:r>
      <w:r>
        <w:rPr>
          <w:rFonts w:hint="eastAsia" w:ascii="仿宋_GB2312" w:hAnsi="Tahoma" w:eastAsia="仿宋_GB2312"/>
          <w:kern w:val="0"/>
          <w:sz w:val="32"/>
          <w:szCs w:val="32"/>
        </w:rPr>
        <w:t>打造一批智能工厂、智能制造优秀场景，形成一批数字化转型效果好、示范带动性强、复制推广作用大的数字化转型标杆案例。对经认定为国家级、市级、区级智能工厂的企业，分别给予最高200万元、100万元、30万元的奖励；对经认定为国家级、市级智能制造优秀场景的企业，分别给予最高40万</w:t>
      </w:r>
      <w:r>
        <w:rPr>
          <w:rFonts w:hint="eastAsia" w:ascii="Times New Roman" w:hAnsi="Times New Roman" w:eastAsia="仿宋_GB2312" w:cs="Times New Roman"/>
          <w:sz w:val="32"/>
          <w:szCs w:val="32"/>
        </w:rPr>
        <w:t>元</w:t>
      </w:r>
      <w:r>
        <w:rPr>
          <w:rFonts w:hint="eastAsia" w:ascii="仿宋_GB2312" w:hAnsi="Tahoma" w:eastAsia="仿宋_GB2312"/>
          <w:kern w:val="0"/>
          <w:sz w:val="32"/>
          <w:szCs w:val="32"/>
        </w:rPr>
        <w:t>、20万元的奖</w:t>
      </w:r>
      <w:r>
        <w:rPr>
          <w:rFonts w:hint="eastAsia" w:ascii="Times New Roman" w:hAnsi="Times New Roman" w:eastAsia="仿宋_GB2312" w:cs="Times New Roman"/>
          <w:sz w:val="32"/>
          <w:szCs w:val="32"/>
        </w:rPr>
        <w:t>励。</w:t>
      </w:r>
    </w:p>
    <w:p>
      <w:pPr>
        <w:pStyle w:val="7"/>
        <w:widowControl w:val="0"/>
        <w:adjustRightInd/>
        <w:snapToGrid/>
        <w:spacing w:line="560" w:lineRule="exact"/>
        <w:jc w:val="both"/>
        <w:outlineLvl w:val="2"/>
        <w:rPr>
          <w:rFonts w:ascii="Times New Roman" w:hAnsi="Times New Roman"/>
          <w:bCs w:val="0"/>
          <w:lang w:bidi="ar"/>
        </w:rPr>
      </w:pPr>
      <w:r>
        <w:rPr>
          <w:rFonts w:ascii="Times New Roman" w:hAnsi="Times New Roman"/>
        </w:rPr>
        <w:t>（</w:t>
      </w:r>
      <w:r>
        <w:rPr>
          <w:rFonts w:hint="eastAsia" w:ascii="Times New Roman" w:hAnsi="Times New Roman"/>
        </w:rPr>
        <w:t>四</w:t>
      </w:r>
      <w:r>
        <w:rPr>
          <w:rFonts w:ascii="Times New Roman" w:hAnsi="Times New Roman"/>
        </w:rPr>
        <w:t>）</w:t>
      </w:r>
      <w:r>
        <w:rPr>
          <w:rFonts w:hint="eastAsia" w:ascii="Times New Roman" w:hAnsi="Times New Roman"/>
        </w:rPr>
        <w:t>工业互联网平台赋能“链式”转型。</w:t>
      </w:r>
      <w:r>
        <w:rPr>
          <w:rFonts w:hint="eastAsia" w:ascii="Times New Roman" w:hAnsi="Times New Roman"/>
          <w:b w:val="0"/>
          <w:bCs w:val="0"/>
        </w:rPr>
        <w:t>发挥链主企业、龙头企业的技术优势、资源优势与产业引领作用，</w:t>
      </w:r>
      <w:r>
        <w:rPr>
          <w:rFonts w:hint="eastAsia" w:hAnsi="Tahoma"/>
          <w:b w:val="0"/>
          <w:bCs w:val="0"/>
        </w:rPr>
        <w:t>依托工业互联网平台，</w:t>
      </w:r>
      <w:r>
        <w:rPr>
          <w:rFonts w:hint="eastAsia" w:ascii="Times New Roman" w:hAnsi="Times New Roman"/>
          <w:b w:val="0"/>
          <w:bCs w:val="0"/>
        </w:rPr>
        <w:t>支持链主企业、龙头企业融</w:t>
      </w:r>
      <w:r>
        <w:rPr>
          <w:rFonts w:hint="eastAsia" w:hAnsi="Tahoma" w:cstheme="minorBidi"/>
          <w:b w:val="0"/>
        </w:rPr>
        <w:t>合应用5G、区块链、边缘计算、模拟仿真、数字孪生、人工智能、AR/VR等新兴技术，推动链上企业在研发设计、采购供应、生产制造、仓储物流、产品服务等核心环节集成互联和业务协同，带动试点行业产业链供应链上下游中小企业“链式”转型。对经评审入选的“链式”转型项目，按照核定项目总投入给予不超过30%，最高300万元的补</w:t>
      </w:r>
      <w:r>
        <w:rPr>
          <w:rFonts w:hint="eastAsia" w:ascii="Times New Roman" w:hAnsi="Times New Roman"/>
          <w:b w:val="0"/>
          <w:lang w:bidi="ar"/>
        </w:rPr>
        <w:t>贴。</w:t>
      </w:r>
    </w:p>
    <w:p>
      <w:pPr>
        <w:pStyle w:val="6"/>
        <w:spacing w:line="560" w:lineRule="exact"/>
        <w:ind w:firstLine="643"/>
        <w:outlineLvl w:val="2"/>
        <w:rPr>
          <w:rFonts w:hint="eastAsia" w:ascii="黑体" w:hAnsi="黑体" w:eastAsia="黑体" w:cs="黑体"/>
          <w:b/>
          <w:lang w:bidi="ar"/>
        </w:rPr>
      </w:pPr>
      <w:r>
        <w:rPr>
          <w:b/>
        </w:rPr>
        <w:t>（</w:t>
      </w:r>
      <w:r>
        <w:rPr>
          <w:rFonts w:hint="eastAsia"/>
          <w:b/>
        </w:rPr>
        <w:t>五</w:t>
      </w:r>
      <w:r>
        <w:rPr>
          <w:b/>
        </w:rPr>
        <w:t>）上云</w:t>
      </w:r>
      <w:r>
        <w:rPr>
          <w:rFonts w:hint="eastAsia"/>
          <w:b/>
        </w:rPr>
        <w:t>用云</w:t>
      </w:r>
      <w:r>
        <w:rPr>
          <w:b/>
        </w:rPr>
        <w:t>。</w:t>
      </w:r>
      <w:r>
        <w:rPr>
          <w:rFonts w:hint="eastAsia"/>
          <w:bCs w:val="0"/>
        </w:rPr>
        <w:t>支持试点企业应用工业互联网平台、专业服务云平台的SaaS（软件即服务）化服务，加快产品设计、营销管理、生产管控等核心业务系统向云端迁移，</w:t>
      </w:r>
      <w:r>
        <w:rPr>
          <w:rFonts w:hint="eastAsia" w:ascii="仿宋_GB2312" w:hAnsi="仿宋_GB2312" w:cs="仿宋_GB2312"/>
        </w:rPr>
        <w:t>对经认定的“上云用云”项目，给予最高2万元的补贴。</w:t>
      </w:r>
    </w:p>
    <w:p>
      <w:pPr>
        <w:spacing w:line="560" w:lineRule="exact"/>
        <w:ind w:firstLine="640"/>
        <w:outlineLvl w:val="2"/>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六</w:t>
      </w:r>
      <w:r>
        <w:rPr>
          <w:rFonts w:ascii="Times New Roman" w:hAnsi="Times New Roman" w:eastAsia="仿宋_GB2312" w:cs="Times New Roman"/>
          <w:b/>
          <w:sz w:val="32"/>
          <w:szCs w:val="32"/>
        </w:rPr>
        <w:t>）数字化水平</w:t>
      </w:r>
      <w:r>
        <w:rPr>
          <w:rFonts w:hint="eastAsia" w:ascii="Times New Roman" w:hAnsi="Times New Roman" w:eastAsia="仿宋_GB2312" w:cs="Times New Roman"/>
          <w:b/>
          <w:sz w:val="32"/>
          <w:szCs w:val="32"/>
          <w:lang w:val="en-US" w:eastAsia="zh-CN"/>
        </w:rPr>
        <w:t>评定</w:t>
      </w:r>
      <w:r>
        <w:rPr>
          <w:rFonts w:ascii="Times New Roman" w:hAnsi="Times New Roman" w:eastAsia="仿宋_GB2312" w:cs="Times New Roman"/>
          <w:b/>
          <w:sz w:val="32"/>
          <w:szCs w:val="32"/>
        </w:rPr>
        <w:t>。</w:t>
      </w:r>
      <w:r>
        <w:rPr>
          <w:rFonts w:hint="eastAsia" w:ascii="仿宋_GB2312" w:hAnsi="仿宋_GB2312" w:eastAsia="仿宋_GB2312" w:cs="仿宋_GB2312"/>
          <w:sz w:val="32"/>
          <w:szCs w:val="32"/>
        </w:rPr>
        <w:t>试点企业完成数字化改造后，由数字化水平评测机构</w:t>
      </w:r>
      <w:r>
        <w:rPr>
          <w:rFonts w:hint="eastAsia" w:ascii="仿宋_GB2312" w:hAnsi="仿宋_GB2312" w:eastAsia="仿宋_GB2312" w:cs="仿宋_GB2312"/>
          <w:bCs/>
          <w:sz w:val="32"/>
          <w:szCs w:val="32"/>
        </w:rPr>
        <w:t>按</w:t>
      </w:r>
      <w:r>
        <w:rPr>
          <w:rFonts w:hint="eastAsia" w:ascii="仿宋_GB2312" w:hAnsi="仿宋_GB2312" w:eastAsia="仿宋_GB2312" w:cs="仿宋_GB2312"/>
          <w:sz w:val="32"/>
          <w:szCs w:val="32"/>
        </w:rPr>
        <w:t>照工信部《中小企业数字化水平评测指标（2024年版）》及《松江区中小企业数字化转型试点城市试点企业数字化水平评测工作方案》</w:t>
      </w:r>
      <w:r>
        <w:rPr>
          <w:rFonts w:hint="eastAsia" w:ascii="仿宋_GB2312" w:hAnsi="Tahoma" w:eastAsia="仿宋_GB2312" w:cstheme="minorBidi"/>
          <w:bCs/>
          <w:kern w:val="0"/>
          <w:sz w:val="32"/>
          <w:szCs w:val="32"/>
        </w:rPr>
        <w:t>进行评定。对达到数字化水平二级及以上的企业，给予最高3万元的</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w:t>
      </w:r>
    </w:p>
    <w:p>
      <w:pPr>
        <w:widowControl/>
        <w:adjustRightInd w:val="0"/>
        <w:snapToGrid w:val="0"/>
        <w:spacing w:line="560" w:lineRule="exact"/>
        <w:ind w:firstLine="643" w:firstLineChars="200"/>
        <w:outlineLvl w:val="2"/>
        <w:rPr>
          <w:rFonts w:ascii="Times New Roman" w:hAnsi="Times New Roman" w:eastAsia="仿宋_GB2312" w:cs="Times New Roman"/>
          <w:sz w:val="32"/>
          <w:szCs w:val="32"/>
        </w:rPr>
      </w:pP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lang w:val="en-US" w:eastAsia="zh-CN"/>
        </w:rPr>
        <w:t>七</w:t>
      </w:r>
      <w:r>
        <w:rPr>
          <w:rFonts w:ascii="Times New Roman" w:hAnsi="Times New Roman" w:eastAsia="仿宋_GB2312" w:cs="Times New Roman"/>
          <w:b/>
          <w:sz w:val="32"/>
          <w:szCs w:val="32"/>
        </w:rPr>
        <w:t>）金融</w:t>
      </w:r>
      <w:r>
        <w:rPr>
          <w:rFonts w:hint="eastAsia" w:ascii="Times New Roman" w:hAnsi="Times New Roman" w:eastAsia="仿宋_GB2312" w:cs="Times New Roman"/>
          <w:b/>
          <w:sz w:val="32"/>
          <w:szCs w:val="32"/>
        </w:rPr>
        <w:t>赋能</w:t>
      </w:r>
      <w:r>
        <w:rPr>
          <w:rFonts w:ascii="Times New Roman" w:hAnsi="Times New Roman" w:eastAsia="仿宋_GB2312" w:cs="Times New Roman"/>
          <w:b/>
          <w:sz w:val="32"/>
          <w:szCs w:val="32"/>
        </w:rPr>
        <w:t>服务。</w:t>
      </w:r>
      <w:r>
        <w:rPr>
          <w:rFonts w:hint="eastAsia" w:ascii="Times New Roman" w:hAnsi="Times New Roman" w:eastAsia="仿宋_GB2312" w:cs="Times New Roman"/>
          <w:sz w:val="32"/>
          <w:szCs w:val="32"/>
        </w:rPr>
        <w:t>积极发挥松江区中小微企业政策性融资担保政策红利，</w:t>
      </w:r>
      <w:r>
        <w:rPr>
          <w:rFonts w:hint="eastAsia" w:ascii="仿宋_GB2312" w:hAnsi="Tahoma" w:eastAsia="仿宋_GB2312"/>
          <w:kern w:val="0"/>
          <w:sz w:val="32"/>
          <w:szCs w:val="32"/>
        </w:rPr>
        <w:t>为开展数字化改造的试点企业提供贴息贴费支持</w:t>
      </w:r>
      <w:r>
        <w:rPr>
          <w:rFonts w:hint="eastAsia" w:ascii="Times New Roman" w:hAnsi="Times New Roman" w:eastAsia="仿宋_GB2312" w:cs="Times New Roman"/>
          <w:sz w:val="32"/>
          <w:szCs w:val="32"/>
        </w:rPr>
        <w:t>，鼓励金融机构对试点企业</w:t>
      </w:r>
      <w:r>
        <w:rPr>
          <w:rFonts w:hint="eastAsia"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rPr>
        <w:t>专项贷款支持。</w:t>
      </w:r>
    </w:p>
    <w:p>
      <w:pPr>
        <w:spacing w:line="560" w:lineRule="exact"/>
        <w:jc w:val="center"/>
        <w:outlineLvl w:val="0"/>
        <w:rPr>
          <w:rFonts w:hint="eastAsia" w:ascii="黑体" w:hAnsi="黑体" w:eastAsia="黑体" w:cs="Times New Roman"/>
          <w:bCs/>
          <w:sz w:val="32"/>
          <w:szCs w:val="32"/>
        </w:rPr>
      </w:pPr>
      <w:r>
        <w:rPr>
          <w:rFonts w:hint="eastAsia" w:ascii="黑体" w:hAnsi="黑体" w:eastAsia="黑体" w:cs="Times New Roman"/>
          <w:bCs/>
          <w:sz w:val="32"/>
          <w:szCs w:val="32"/>
        </w:rPr>
        <w:t>第三章 项目管理</w:t>
      </w:r>
    </w:p>
    <w:p>
      <w:pPr>
        <w:spacing w:line="560" w:lineRule="exact"/>
        <w:ind w:firstLine="64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第五条（项目管理）</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（一）企业申请。</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按照城市试点工作各项目的资金补贴通知，向相关业务部门</w:t>
      </w:r>
      <w:r>
        <w:rPr>
          <w:rFonts w:ascii="Times New Roman" w:hAnsi="Times New Roman" w:eastAsia="仿宋_GB2312" w:cs="Times New Roman"/>
          <w:sz w:val="32"/>
          <w:szCs w:val="32"/>
        </w:rPr>
        <w:t>提出资金</w:t>
      </w:r>
      <w:r>
        <w:rPr>
          <w:rFonts w:hint="eastAsia" w:ascii="Times New Roman" w:hAnsi="Times New Roman" w:eastAsia="仿宋_GB2312" w:cs="Times New Roman"/>
          <w:sz w:val="32"/>
          <w:szCs w:val="32"/>
        </w:rPr>
        <w:t>奖补</w:t>
      </w:r>
      <w:r>
        <w:rPr>
          <w:rFonts w:ascii="Times New Roman" w:hAnsi="Times New Roman" w:eastAsia="仿宋_GB2312" w:cs="Times New Roman"/>
          <w:sz w:val="32"/>
          <w:szCs w:val="32"/>
        </w:rPr>
        <w:t>申请。</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（二）项目初审。</w:t>
      </w:r>
      <w:r>
        <w:rPr>
          <w:rFonts w:hint="eastAsia" w:ascii="Times New Roman" w:hAnsi="Times New Roman" w:eastAsia="仿宋_GB2312" w:cs="Times New Roman"/>
          <w:bCs/>
          <w:sz w:val="32"/>
          <w:szCs w:val="32"/>
        </w:rPr>
        <w:t>相关</w:t>
      </w:r>
      <w:r>
        <w:rPr>
          <w:rFonts w:ascii="Times New Roman" w:hAnsi="Times New Roman" w:eastAsia="仿宋_GB2312" w:cs="Times New Roman"/>
          <w:sz w:val="32"/>
          <w:szCs w:val="32"/>
        </w:rPr>
        <w:t>街镇</w:t>
      </w:r>
      <w:r>
        <w:rPr>
          <w:rFonts w:hint="eastAsia" w:ascii="Times New Roman" w:hAnsi="Times New Roman" w:eastAsia="仿宋_GB2312" w:cs="Times New Roman"/>
          <w:sz w:val="32"/>
          <w:szCs w:val="32"/>
        </w:rPr>
        <w:t>（经开区）</w:t>
      </w:r>
      <w:r>
        <w:rPr>
          <w:rFonts w:ascii="Times New Roman" w:hAnsi="Times New Roman" w:eastAsia="仿宋_GB2312" w:cs="Times New Roman"/>
          <w:sz w:val="32"/>
          <w:szCs w:val="32"/>
        </w:rPr>
        <w:t>受理企业申请，对项目申请单位提交的材料进行程序性、规范性审查后盖章推荐上报。</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（三）项目评审。</w:t>
      </w:r>
      <w:r>
        <w:rPr>
          <w:rFonts w:hint="eastAsia" w:ascii="Times New Roman" w:hAnsi="Times New Roman" w:eastAsia="仿宋_GB2312" w:cs="Times New Roman"/>
          <w:bCs/>
          <w:sz w:val="32"/>
          <w:szCs w:val="32"/>
        </w:rPr>
        <w:t>区经委、区数据局对相关项目组织评审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初步</w:t>
      </w:r>
      <w:r>
        <w:rPr>
          <w:rFonts w:hint="eastAsia" w:ascii="Times New Roman" w:hAnsi="Times New Roman" w:eastAsia="仿宋_GB2312" w:cs="Times New Roman"/>
          <w:sz w:val="32"/>
          <w:szCs w:val="32"/>
        </w:rPr>
        <w:t>形成拟</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企业名单及金额</w:t>
      </w:r>
      <w:r>
        <w:rPr>
          <w:rFonts w:ascii="Times New Roman" w:hAnsi="Times New Roman" w:eastAsia="仿宋_GB2312" w:cs="Times New Roman"/>
          <w:sz w:val="32"/>
          <w:szCs w:val="32"/>
        </w:rPr>
        <w:t>。</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（四）项目会审。</w:t>
      </w:r>
      <w:r>
        <w:rPr>
          <w:rFonts w:hint="eastAsia" w:ascii="Times New Roman" w:hAnsi="Times New Roman" w:eastAsia="仿宋_GB2312" w:cs="Times New Roman"/>
          <w:bCs/>
          <w:sz w:val="32"/>
          <w:szCs w:val="32"/>
        </w:rPr>
        <w:t>区经委、区数据局和区财政局</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拟支持企业名单及金额</w:t>
      </w:r>
      <w:r>
        <w:rPr>
          <w:rFonts w:ascii="Times New Roman" w:hAnsi="Times New Roman" w:eastAsia="仿宋_GB2312" w:cs="Times New Roman"/>
          <w:sz w:val="32"/>
          <w:szCs w:val="32"/>
        </w:rPr>
        <w:t>进行会审，明确资金计划。</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（五）项目公示。</w:t>
      </w:r>
      <w:r>
        <w:rPr>
          <w:rFonts w:ascii="Times New Roman" w:hAnsi="Times New Roman" w:eastAsia="仿宋_GB2312" w:cs="Times New Roman"/>
          <w:sz w:val="32"/>
          <w:szCs w:val="32"/>
        </w:rPr>
        <w:t>根据区政府相关专题会议的审定意见，将支持</w:t>
      </w:r>
      <w:r>
        <w:rPr>
          <w:rFonts w:hint="eastAsia" w:ascii="Times New Roman" w:hAnsi="Times New Roman" w:eastAsia="仿宋_GB2312" w:cs="Times New Roman"/>
          <w:sz w:val="32"/>
          <w:szCs w:val="32"/>
        </w:rPr>
        <w:t>企业名单</w:t>
      </w:r>
      <w:r>
        <w:rPr>
          <w:rFonts w:ascii="Times New Roman" w:hAnsi="Times New Roman" w:eastAsia="仿宋_GB2312" w:cs="Times New Roman"/>
          <w:sz w:val="32"/>
          <w:szCs w:val="32"/>
        </w:rPr>
        <w:t>进行公示。</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（六）资金拨付。</w:t>
      </w:r>
      <w:r>
        <w:rPr>
          <w:rFonts w:hint="eastAsia" w:ascii="Times New Roman" w:hAnsi="Times New Roman" w:eastAsia="仿宋_GB2312" w:cs="Times New Roman"/>
          <w:sz w:val="32"/>
          <w:szCs w:val="32"/>
        </w:rPr>
        <w:t>各部门根据年度预算，在批准的预算额度内，按照财政资金管理的相关要求拨付专项资金。</w:t>
      </w:r>
    </w:p>
    <w:p>
      <w:pPr>
        <w:pStyle w:val="2"/>
        <w:spacing w:line="560" w:lineRule="exact"/>
        <w:jc w:val="center"/>
        <w:outlineLvl w:val="0"/>
        <w:rPr>
          <w:rFonts w:hint="eastAsia" w:ascii="黑体" w:hAnsi="黑体" w:eastAsia="黑体" w:cs="Times New Roman"/>
          <w:bCs/>
          <w:sz w:val="32"/>
          <w:szCs w:val="32"/>
          <w:lang w:val="en-US"/>
        </w:rPr>
      </w:pPr>
      <w:r>
        <w:rPr>
          <w:rFonts w:hint="eastAsia" w:ascii="黑体" w:hAnsi="黑体" w:eastAsia="黑体" w:cs="Times New Roman"/>
          <w:bCs/>
          <w:sz w:val="32"/>
          <w:szCs w:val="32"/>
          <w:lang w:val="en-US"/>
        </w:rPr>
        <w:t>第四章 监督管理</w:t>
      </w:r>
    </w:p>
    <w:p>
      <w:pPr>
        <w:spacing w:line="560" w:lineRule="exact"/>
        <w:ind w:firstLine="64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第六条（绩效管理）</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加强专项资金绩效管理，按照财政部、工信部要求组织开展中期评估和绩效评价工作，将绩效评价结果作为专项资金预算安排、分配管理的重要依据。</w:t>
      </w:r>
    </w:p>
    <w:p>
      <w:pPr>
        <w:spacing w:line="560" w:lineRule="exact"/>
        <w:ind w:firstLine="640"/>
        <w:outlineLvl w:val="1"/>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第七条（监督检查）</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（一）专项资金使用管理接受审计等部门的监督检查。对改造项目进度和目标完成情况等进行过程监督和专项检查，根据绩效评价中发现的问题，及时制定整改措施，并按时完成整改。</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（二）资金申请主体对申报材料的合法性、真实性负责。对于采用虚假信息、骗取财政资金的行为，一经查实，追回违反规定使用、骗取的资金，同时按照《财政违法行为处罚处分条例》（国务院令</w:t>
      </w:r>
      <w:r>
        <w:rPr>
          <w:rFonts w:hint="eastAsia" w:ascii="仿宋_GB2312" w:hAnsi="仿宋_GB2312" w:eastAsia="仿宋_GB2312" w:cs="仿宋_GB2312"/>
          <w:sz w:val="32"/>
          <w:szCs w:val="32"/>
        </w:rPr>
        <w:t>第427号</w:t>
      </w:r>
      <w:r>
        <w:rPr>
          <w:rFonts w:hint="eastAsia" w:ascii="Times New Roman" w:hAnsi="Times New Roman" w:eastAsia="仿宋_GB2312" w:cs="Times New Roman"/>
          <w:sz w:val="32"/>
          <w:szCs w:val="32"/>
        </w:rPr>
        <w:t>）等有关法律法规进行查处。</w:t>
      </w:r>
    </w:p>
    <w:p>
      <w:p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（三）专家组成员、有关工作人员或第三方评估机构等单位存在弄虚作假、徇私舞弊等行为</w:t>
      </w:r>
      <w:r>
        <w:rPr>
          <w:rFonts w:hint="eastAsia" w:ascii="仿宋_GB2312" w:hAnsi="Tahoma" w:eastAsia="仿宋_GB2312" w:cstheme="minorBidi"/>
          <w:bCs/>
          <w:kern w:val="0"/>
          <w:sz w:val="32"/>
          <w:szCs w:val="32"/>
        </w:rPr>
        <w:t>的，或未经允许擅自披露、使用、向他人提供项目相关商业秘密的，3年内取消其参加有关项目评定或验收核查工作的资</w:t>
      </w:r>
      <w:r>
        <w:rPr>
          <w:rFonts w:hint="eastAsia" w:ascii="Times New Roman" w:hAnsi="Times New Roman" w:eastAsia="仿宋_GB2312" w:cs="Times New Roman"/>
          <w:sz w:val="32"/>
          <w:szCs w:val="32"/>
        </w:rPr>
        <w:t>格。</w:t>
      </w:r>
    </w:p>
    <w:p>
      <w:pPr>
        <w:spacing w:line="560" w:lineRule="exact"/>
        <w:ind w:firstLine="640"/>
        <w:outlineLvl w:val="1"/>
        <w:rPr>
          <w:rFonts w:hint="eastAsia" w:ascii="Times New Roman" w:hAnsi="Times New Roman" w:eastAsia="仿宋_GB2312" w:cs="Times New Roman"/>
          <w:sz w:val="32"/>
          <w:szCs w:val="32"/>
          <w:lang w:eastAsia="zh-CN"/>
        </w:rPr>
      </w:pPr>
      <w:r>
        <w:rPr>
          <w:rFonts w:hint="eastAsia" w:ascii="楷体_GB2312" w:hAnsi="Times New Roman" w:eastAsia="楷体_GB2312" w:cs="Times New Roman"/>
          <w:bCs/>
          <w:sz w:val="32"/>
          <w:szCs w:val="32"/>
        </w:rPr>
        <w:t>第八条（其他）</w:t>
      </w:r>
    </w:p>
    <w:p>
      <w:pPr>
        <w:numPr>
          <w:ilvl w:val="0"/>
          <w:numId w:val="1"/>
        </w:numPr>
        <w:spacing w:line="56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第四条支持范围中，第（三）、（四）条政策条款奖补资金由区级财政和</w:t>
      </w:r>
      <w:r>
        <w:rPr>
          <w:rFonts w:hint="eastAsia" w:ascii="Times New Roman" w:hAnsi="Times New Roman" w:eastAsia="仿宋_GB2312" w:cs="Times New Roman"/>
          <w:sz w:val="32"/>
          <w:szCs w:val="32"/>
          <w:lang w:eastAsia="zh-CN"/>
        </w:rPr>
        <w:t>所属</w:t>
      </w:r>
      <w:r>
        <w:rPr>
          <w:rFonts w:hint="eastAsia" w:ascii="Times New Roman" w:hAnsi="Times New Roman" w:eastAsia="仿宋_GB2312" w:cs="Times New Roman"/>
          <w:sz w:val="32"/>
          <w:szCs w:val="32"/>
        </w:rPr>
        <w:t>街镇（经开区）财</w:t>
      </w:r>
      <w:r>
        <w:rPr>
          <w:rFonts w:hint="eastAsia" w:ascii="仿宋_GB2312" w:hAnsi="仿宋_GB2312" w:eastAsia="仿宋_GB2312" w:cs="仿宋_GB2312"/>
          <w:sz w:val="32"/>
          <w:szCs w:val="32"/>
        </w:rPr>
        <w:t>政按7:3比</w:t>
      </w:r>
      <w:r>
        <w:rPr>
          <w:rFonts w:hint="eastAsia" w:ascii="Times New Roman" w:hAnsi="Times New Roman" w:eastAsia="仿宋_GB2312" w:cs="Times New Roman"/>
          <w:sz w:val="32"/>
          <w:szCs w:val="32"/>
        </w:rPr>
        <w:t>例承担。已享受过其他政策支持的，就高不重复享受补贴。</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本文件自印发之日起实施，有效</w:t>
      </w:r>
      <w:r>
        <w:rPr>
          <w:rFonts w:hint="eastAsia" w:ascii="仿宋_GB2312" w:hAnsi="仿宋_GB2312" w:eastAsia="仿宋_GB2312" w:cs="仿宋_GB2312"/>
          <w:sz w:val="32"/>
          <w:szCs w:val="32"/>
        </w:rPr>
        <w:t>期至2026年10月</w:t>
      </w:r>
      <w:r>
        <w:rPr>
          <w:rFonts w:ascii="Times New Roman" w:hAnsi="Times New Roman" w:eastAsia="仿宋_GB2312" w:cs="Times New Roman"/>
          <w:sz w:val="32"/>
          <w:szCs w:val="32"/>
        </w:rPr>
        <w:t>。</w:t>
      </w:r>
    </w:p>
    <w:p>
      <w:pPr>
        <w:numPr>
          <w:ilvl w:val="0"/>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本文件</w:t>
      </w:r>
      <w:r>
        <w:rPr>
          <w:rFonts w:ascii="Times New Roman" w:hAnsi="Times New Roman" w:eastAsia="仿宋_GB2312" w:cs="Times New Roman"/>
          <w:sz w:val="32"/>
          <w:szCs w:val="32"/>
        </w:rPr>
        <w:t>由松江区</w:t>
      </w:r>
      <w:r>
        <w:rPr>
          <w:rFonts w:hint="eastAsia" w:ascii="Times New Roman" w:hAnsi="Times New Roman" w:eastAsia="仿宋_GB2312" w:cs="Times New Roman"/>
          <w:sz w:val="32"/>
          <w:szCs w:val="32"/>
        </w:rPr>
        <w:t>财政局、区经委、区数据局</w:t>
      </w:r>
      <w:r>
        <w:rPr>
          <w:rFonts w:ascii="Times New Roman" w:hAnsi="Times New Roman" w:eastAsia="仿宋_GB2312" w:cs="Times New Roman"/>
          <w:sz w:val="32"/>
          <w:szCs w:val="32"/>
        </w:rPr>
        <w:t>负责解释。</w:t>
      </w:r>
    </w:p>
    <w:p>
      <w:pPr>
        <w:numPr>
          <w:ilvl w:val="0"/>
          <w:numId w:val="0"/>
        </w:numPr>
        <w:spacing w:line="560" w:lineRule="exact"/>
        <w:ind w:firstLine="640" w:firstLineChars="200"/>
      </w:pP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本文件将随财政部、工信部中小企业数字化转型城市试点工作相关</w:t>
      </w:r>
      <w:r>
        <w:rPr>
          <w:rFonts w:hint="eastAsia" w:ascii="Times New Roman" w:hAnsi="Times New Roman" w:eastAsia="仿宋_GB2312" w:cs="Times New Roman"/>
          <w:sz w:val="32"/>
          <w:szCs w:val="32"/>
        </w:rPr>
        <w:t>最新</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修订</w:t>
      </w:r>
      <w:r>
        <w:rPr>
          <w:rFonts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B007F"/>
    <w:multiLevelType w:val="singleLevel"/>
    <w:tmpl w:val="7ECB007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73D45"/>
    <w:rsid w:val="046B434A"/>
    <w:rsid w:val="0A247EFB"/>
    <w:rsid w:val="0EDE557E"/>
    <w:rsid w:val="202C6073"/>
    <w:rsid w:val="21E2259D"/>
    <w:rsid w:val="4BDB1A99"/>
    <w:rsid w:val="58BC6A4E"/>
    <w:rsid w:val="5DA73D45"/>
    <w:rsid w:val="6D82495B"/>
    <w:rsid w:val="F3DFF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cs="宋体" w:eastAsiaTheme="minorEastAsia"/>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1"/>
      <w:szCs w:val="31"/>
      <w:lang w:val="zh-CN" w:bidi="zh-CN"/>
    </w:r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customStyle="1" w:styleId="6">
    <w:name w:val="正文样式"/>
    <w:basedOn w:val="3"/>
    <w:qFormat/>
    <w:uiPriority w:val="0"/>
    <w:pPr>
      <w:widowControl/>
      <w:adjustRightInd w:val="0"/>
      <w:snapToGrid w:val="0"/>
      <w:spacing w:before="0" w:beforeAutospacing="0" w:after="0" w:afterAutospacing="0" w:line="600" w:lineRule="exact"/>
      <w:ind w:firstLine="640" w:firstLineChars="200"/>
      <w:jc w:val="both"/>
    </w:pPr>
    <w:rPr>
      <w:rFonts w:ascii="Times New Roman" w:hAnsi="Times New Roman" w:eastAsia="仿宋_GB2312"/>
      <w:bCs/>
      <w:sz w:val="32"/>
      <w:szCs w:val="32"/>
    </w:rPr>
  </w:style>
  <w:style w:type="paragraph" w:customStyle="1" w:styleId="7">
    <w:name w:val="四级标题"/>
    <w:basedOn w:val="8"/>
    <w:qFormat/>
    <w:uiPriority w:val="0"/>
    <w:pPr>
      <w:ind w:firstLine="643"/>
      <w:outlineLvl w:val="3"/>
    </w:pPr>
    <w:rPr>
      <w:rFonts w:ascii="仿宋_GB2312" w:eastAsia="仿宋_GB2312"/>
      <w:b/>
    </w:rPr>
  </w:style>
  <w:style w:type="paragraph" w:customStyle="1" w:styleId="8">
    <w:name w:val="一级标题"/>
    <w:basedOn w:val="3"/>
    <w:qFormat/>
    <w:uiPriority w:val="0"/>
    <w:pPr>
      <w:widowControl/>
      <w:adjustRightInd w:val="0"/>
      <w:snapToGrid w:val="0"/>
      <w:spacing w:before="0" w:beforeAutospacing="0" w:after="0" w:afterAutospacing="0" w:line="600" w:lineRule="exact"/>
      <w:ind w:firstLine="640" w:firstLineChars="200"/>
      <w:outlineLvl w:val="0"/>
    </w:pPr>
    <w:rPr>
      <w:rFonts w:ascii="Times New Roman" w:hAnsi="黑体" w:eastAsia="黑体"/>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2680</Words>
  <Characters>2731</Characters>
  <Lines>0</Lines>
  <Paragraphs>0</Paragraphs>
  <TotalTime>9</TotalTime>
  <ScaleCrop>false</ScaleCrop>
  <LinksUpToDate>false</LinksUpToDate>
  <CharactersWithSpaces>2736</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2025-03-19T09:32:00Z</dcterms:created>
  <dc:creator>fifi</dc:creator>
  <cp:lastModifiedBy>haier</cp:lastModifiedBy>
  <dcterms:modified xsi:type="dcterms:W3CDTF">2025-03-19T14:54:27Z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8EE6C69A924F40F584637A724F14FC57_13</vt:lpwstr>
  </property>
  <property fmtid="{D5CDD505-2E9C-101B-9397-08002B2CF9AE}" pid="4" name="KSOTemplateDocerSaveRecord">
    <vt:lpwstr>eyJoZGlkIjoiODViY2JkMjU3NGYzZTEwMzZmMGFkZWViYmNkYWU3NDIiLCJ1c2VySWQiOiI1NDYxNjI5NzUifQ==</vt:lpwstr>
  </property>
</Properties>
</file>